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22F31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黑体" w:cs="黑体"/>
          <w:b w:val="0"/>
          <w:bCs w:val="0"/>
          <w:sz w:val="32"/>
          <w:szCs w:val="32"/>
          <w:vertAlign w:val="baseline"/>
          <w:lang w:val="en-US" w:eastAsia="zh-CN"/>
        </w:rPr>
      </w:pPr>
    </w:p>
    <w:p w14:paraId="79D961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黑体" w:cs="黑体"/>
          <w:b w:val="0"/>
          <w:bCs w:val="0"/>
          <w:sz w:val="32"/>
          <w:szCs w:val="32"/>
          <w:vertAlign w:val="baseline"/>
          <w:lang w:val="en-US" w:eastAsia="zh-CN"/>
        </w:rPr>
      </w:pPr>
      <w:r>
        <w:rPr>
          <w:rFonts w:hint="eastAsia" w:ascii="宋体" w:hAnsi="宋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附件1</w:t>
      </w:r>
    </w:p>
    <w:p w14:paraId="1AD93D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872" w:firstLineChars="200"/>
        <w:jc w:val="left"/>
        <w:textAlignment w:val="auto"/>
        <w:outlineLvl w:val="9"/>
        <w:rPr>
          <w:rFonts w:hint="eastAsia" w:ascii="宋体" w:hAnsi="宋体" w:eastAsia="方正小标宋简体" w:cs="方正小标宋简体"/>
          <w:sz w:val="44"/>
          <w:szCs w:val="44"/>
          <w:lang w:eastAsia="zh-CN"/>
        </w:rPr>
      </w:pPr>
    </w:p>
    <w:p w14:paraId="794F1A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方正小标宋简体" w:cs="方正小标宋简体"/>
          <w:sz w:val="44"/>
          <w:szCs w:val="44"/>
          <w:lang w:eastAsia="zh-CN"/>
        </w:rPr>
      </w:pPr>
      <w:r>
        <w:rPr>
          <w:rFonts w:hint="eastAsia" w:ascii="宋体" w:hAnsi="宋体" w:eastAsia="方正小标宋简体" w:cs="方正小标宋简体"/>
          <w:sz w:val="44"/>
          <w:szCs w:val="44"/>
          <w:lang w:eastAsia="zh-CN"/>
        </w:rPr>
        <w:t>外事咨询专家的基本条件及主要工作</w:t>
      </w:r>
    </w:p>
    <w:p w14:paraId="1BDA85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46926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一、外事咨询专家的基本条件</w:t>
      </w:r>
    </w:p>
    <w:p w14:paraId="73D5E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）政治素养。坚决拥护中国共产党领导和社会主义制度，维护国家统一与民族团结，遵守宪法和法律，无反华言行、刑事处罚或严重纪律处分记录。</w:t>
      </w:r>
    </w:p>
    <w:p w14:paraId="401AAC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）专业能力。具备扎实的外事专业知识理论或实践经验。 符合以下条件之一：具备副高级以上专业技术职称或同等专业水 平，曾参与国家级/省部级外事项目，在国际交流、跨境合作中有丰富经验或作出突出贡献。</w:t>
      </w:r>
    </w:p>
    <w:p w14:paraId="27E856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）责任意识。热心参与人大外事工作，具有奉献精神和 责任担当。</w:t>
      </w:r>
    </w:p>
    <w:p w14:paraId="4C023C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）职业操守。职业道德良好，社会声誉端正，严守纪律规矩，履行保密义务，无学术失范行为。</w:t>
      </w:r>
    </w:p>
    <w:p w14:paraId="7FD387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）身体条件。身体健康，年龄原则上不超过65周岁。</w:t>
      </w:r>
    </w:p>
    <w:p w14:paraId="0E624F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二、外事咨询专家的主要工作任务</w:t>
      </w:r>
    </w:p>
    <w:p w14:paraId="1AD8A4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）应邀为省人大常委会审议涉外领域的议案、质询案、 专项工作报告等提供咨询意见；</w:t>
      </w:r>
    </w:p>
    <w:p w14:paraId="02F791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）应邀参与省人大常委会或者省人大外事委员会开展的 涉外执法检查、专题调研等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，并就存在的问题及解决办法提供咨询意见；</w:t>
      </w:r>
    </w:p>
    <w:p w14:paraId="1ED37D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）应邀为省人大常委会审查涉外领域的地方性法规、规 章以及有关决议、决定、规范性文件提供咨询意见；</w:t>
      </w:r>
    </w:p>
    <w:p w14:paraId="56B6F9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）受省人大常委会或者省人大外事委员会委托，对涉外 领域的有关问题进行调查研究，提出调研报告；</w:t>
      </w:r>
    </w:p>
    <w:p w14:paraId="52B166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）应邀参与省人大对外交往工作；</w:t>
      </w:r>
    </w:p>
    <w:p w14:paraId="49E518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）应邀参与全省人大外事工作人员的培训工作；</w:t>
      </w:r>
    </w:p>
    <w:p w14:paraId="79A52D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2" w:firstLineChars="200"/>
        <w:jc w:val="left"/>
        <w:textAlignment w:val="auto"/>
        <w:outlineLvl w:val="9"/>
        <w:rPr>
          <w:rFonts w:hint="eastAsia" w:ascii="宋体" w:hAnsi="宋体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）应邀为省人大常委会办公厅、有关委员会提供相关咨询服务。</w:t>
      </w:r>
    </w:p>
    <w:sectPr>
      <w:footerReference r:id="rId3" w:type="default"/>
      <w:footerReference r:id="rId4" w:type="even"/>
      <w:pgSz w:w="11907" w:h="16840"/>
      <w:pgMar w:top="1417" w:right="1531" w:bottom="1304" w:left="1531" w:header="0" w:footer="907" w:gutter="0"/>
      <w:pgNumType w:fmt="decimal"/>
      <w:cols w:space="720" w:num="1"/>
      <w:rtlGutter w:val="0"/>
      <w:docGrid w:type="linesAndChars" w:linePitch="590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