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2：工程类博士专业学位研究生毕业（学位）论文送审资格审核通过公示名单</w:t>
      </w:r>
    </w:p>
    <w:p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530"/>
        <w:gridCol w:w="2169"/>
        <w:gridCol w:w="1556"/>
        <w:gridCol w:w="8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421" w:type="pct"/>
            <w:vAlign w:val="center"/>
          </w:tcPr>
          <w:p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2801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exact"/>
        </w:trPr>
        <w:tc>
          <w:tcPr>
            <w:tcW w:w="42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李志斐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202011001727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土木与交通学院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土木水利</w:t>
            </w:r>
          </w:p>
        </w:tc>
        <w:tc>
          <w:tcPr>
            <w:tcW w:w="2801" w:type="pct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[1] SCI JCR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区论文、Frontiers in environmental science、第一作者、华南理工大学；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[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eastAsia="zh-CN"/>
              </w:rPr>
              <w:t>软件著作权、生物膜反应器水质净化效果智能分析系统V1.0、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第一作者、华南理工大学；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[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]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eastAsia="zh-CN"/>
              </w:rPr>
              <w:t>软件著作权、池塘尾水处理系统生物膜生长条件分析系统V1.0、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第一作者、华南理工大学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exact"/>
        </w:trPr>
        <w:tc>
          <w:tcPr>
            <w:tcW w:w="421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朴泷</w:t>
            </w:r>
          </w:p>
        </w:tc>
        <w:tc>
          <w:tcPr>
            <w:tcW w:w="51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201811001840</w:t>
            </w:r>
          </w:p>
        </w:tc>
        <w:tc>
          <w:tcPr>
            <w:tcW w:w="733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土木与交通学院</w:t>
            </w:r>
          </w:p>
        </w:tc>
        <w:tc>
          <w:tcPr>
            <w:tcW w:w="526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土木水利</w:t>
            </w:r>
          </w:p>
        </w:tc>
        <w:tc>
          <w:tcPr>
            <w:tcW w:w="2801" w:type="pct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 xml:space="preserve">[1]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</w:rPr>
              <w:t>SCI JCR 2区《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Welding residual stress elimination technique in the top chord of main truss of steel truss bridge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》（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Buildings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2023,第一作者,华南理工大学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；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</w:rPr>
              <w:t>[2]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马牛静,王荣辉,朴泷.一种考虑正交异性板残余应力效应的组合板梁单元分析法,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</w:rPr>
              <w:t>专利权人：华南理工大学，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授权时间2021.11.9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；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</w:rPr>
              <w:t>[3]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马牛静,王荣辉,朴泷.一种正交异性钢桥面板的计算方法,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</w:rPr>
              <w:t>专利权人：华南理工大学，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授权时间2022.6.24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；</w:t>
            </w:r>
            <w:bookmarkStart w:id="0" w:name="_GoBack"/>
            <w:bookmarkEnd w:id="0"/>
          </w:p>
          <w:p>
            <w:pPr>
              <w:widowControl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1B1B1B"/>
                <w:spacing w:val="0"/>
                <w:kern w:val="0"/>
                <w:sz w:val="21"/>
                <w:szCs w:val="21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</w:rPr>
              <w:t>[4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 xml:space="preserve">]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公路钢结构桥梁制造指南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（ZJ/ZN 2019-14）,浙江省交通运输厅发布,排名2/26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