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83186B">
      <w:pPr>
        <w:jc w:val="center"/>
        <w:rPr>
          <w:rFonts w:ascii="黑体" w:hAnsi="黑体" w:eastAsia="黑体"/>
          <w:color w:val="000000"/>
          <w:sz w:val="30"/>
          <w:szCs w:val="30"/>
        </w:rPr>
      </w:pPr>
      <w:r>
        <w:rPr>
          <w:rFonts w:ascii="黑体" w:hAnsi="黑体" w:eastAsia="黑体"/>
          <w:color w:val="000000"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黑体" w:hAnsi="黑体" w:eastAsia="黑体"/>
          <w:color w:val="000000"/>
          <w:sz w:val="30"/>
          <w:szCs w:val="30"/>
        </w:rPr>
        <w:instrText xml:space="preserve">ADDIN CNKISM.UserStyle</w:instrText>
      </w:r>
      <w:r>
        <w:rPr>
          <w:rFonts w:ascii="黑体" w:hAnsi="黑体" w:eastAsia="黑体"/>
          <w:color w:val="000000"/>
          <w:sz w:val="30"/>
          <w:szCs w:val="30"/>
        </w:rPr>
        <w:fldChar w:fldCharType="end"/>
      </w:r>
      <w:r>
        <w:rPr>
          <w:rFonts w:hint="eastAsia" w:ascii="黑体" w:hAnsi="黑体" w:eastAsia="黑体"/>
          <w:color w:val="000000"/>
          <w:sz w:val="30"/>
          <w:szCs w:val="30"/>
        </w:rPr>
        <w:t>2024-2025第</w:t>
      </w:r>
      <w:r>
        <w:rPr>
          <w:rFonts w:hint="eastAsia" w:ascii="黑体" w:hAnsi="黑体" w:eastAsia="黑体"/>
          <w:color w:val="000000"/>
          <w:sz w:val="30"/>
          <w:szCs w:val="30"/>
          <w:lang w:eastAsia="zh-CN"/>
        </w:rPr>
        <w:t>二</w:t>
      </w:r>
      <w:r>
        <w:rPr>
          <w:rFonts w:hint="eastAsia" w:ascii="黑体" w:hAnsi="黑体" w:eastAsia="黑体"/>
          <w:color w:val="000000"/>
          <w:sz w:val="30"/>
          <w:szCs w:val="30"/>
        </w:rPr>
        <w:t>学期SPOC课程开课计划表</w:t>
      </w:r>
    </w:p>
    <w:p w14:paraId="7F9A1A6C">
      <w:pPr>
        <w:spacing w:line="360" w:lineRule="auto"/>
        <w:jc w:val="left"/>
        <w:rPr>
          <w:rFonts w:ascii="宋体" w:hAnsi="Times New Roman" w:eastAsiaTheme="minorEastAsia"/>
          <w:b/>
          <w:color w:val="000000"/>
        </w:rPr>
      </w:pPr>
    </w:p>
    <w:p w14:paraId="3914AA96">
      <w:pPr>
        <w:spacing w:line="360" w:lineRule="auto"/>
        <w:jc w:val="left"/>
        <w:rPr>
          <w:rFonts w:ascii="宋体" w:hAnsi="Times New Roman" w:eastAsiaTheme="minorEastAsia"/>
          <w:b/>
          <w:color w:val="000000"/>
        </w:rPr>
      </w:pPr>
      <w:r>
        <w:rPr>
          <w:rFonts w:ascii="宋体" w:hAnsi="Times New Roman" w:eastAsia="Times New Roman"/>
          <w:b/>
          <w:color w:val="000000"/>
        </w:rPr>
        <w:t>课程名称：</w:t>
      </w:r>
      <w:r>
        <w:rPr>
          <w:rFonts w:ascii="仿宋" w:hAnsi="仿宋" w:eastAsia="仿宋"/>
          <w:color w:val="FF0000"/>
        </w:rPr>
        <w:t>教你如何做MOOC</w:t>
      </w:r>
      <w:r>
        <w:rPr>
          <w:rFonts w:hint="eastAsia" w:ascii="宋体" w:hAnsi="Times New Roman" w:eastAsiaTheme="minorEastAsia"/>
          <w:b/>
          <w:color w:val="000000"/>
        </w:rPr>
        <w:t xml:space="preserve">                  教学班：</w:t>
      </w:r>
      <w:r>
        <w:rPr>
          <w:rFonts w:hint="eastAsia" w:ascii="仿宋" w:hAnsi="仿宋" w:eastAsia="仿宋"/>
          <w:color w:val="FF0000"/>
        </w:rPr>
        <w:t xml:space="preserve">2024级新闻传播1班  </w:t>
      </w:r>
      <w:r>
        <w:rPr>
          <w:rFonts w:hint="eastAsia" w:ascii="宋体" w:hAnsi="Times New Roman" w:eastAsiaTheme="minorEastAsia"/>
          <w:b/>
          <w:color w:val="000000"/>
        </w:rPr>
        <w:t xml:space="preserve">           校区：</w:t>
      </w:r>
      <w:r>
        <w:rPr>
          <w:rFonts w:hint="eastAsia" w:ascii="仿宋" w:hAnsi="仿宋" w:eastAsia="仿宋"/>
          <w:color w:val="FF0000"/>
        </w:rPr>
        <w:t>五山校区</w:t>
      </w:r>
    </w:p>
    <w:p w14:paraId="2324511F">
      <w:pPr>
        <w:spacing w:line="360" w:lineRule="auto"/>
        <w:jc w:val="left"/>
        <w:rPr>
          <w:rFonts w:ascii="宋体" w:hAnsi="Times New Roman" w:eastAsiaTheme="minorEastAsia"/>
          <w:b/>
          <w:color w:val="000000"/>
        </w:rPr>
      </w:pPr>
      <w:r>
        <w:rPr>
          <w:rFonts w:hint="eastAsia" w:ascii="宋体" w:hAnsi="Times New Roman" w:eastAsiaTheme="minorEastAsia"/>
          <w:b/>
          <w:color w:val="000000"/>
        </w:rPr>
        <w:t xml:space="preserve">任课教师：                                </w:t>
      </w:r>
      <w:r>
        <w:rPr>
          <w:rFonts w:ascii="宋体" w:hAnsi="Times New Roman" w:eastAsia="Times New Roman"/>
          <w:b/>
          <w:color w:val="000000"/>
        </w:rPr>
        <w:t>课程学时数：</w:t>
      </w:r>
      <w:r>
        <w:rPr>
          <w:rFonts w:ascii="仿宋" w:hAnsi="仿宋" w:eastAsia="仿宋"/>
          <w:color w:val="FF0000"/>
        </w:rPr>
        <w:t>32学时</w:t>
      </w:r>
      <w:r>
        <w:rPr>
          <w:rFonts w:hint="eastAsia" w:ascii="宋体" w:hAnsi="Times New Roman" w:eastAsiaTheme="minorEastAsia"/>
          <w:b/>
          <w:color w:val="000000"/>
        </w:rPr>
        <w:t xml:space="preserve">                     </w:t>
      </w:r>
      <w:r>
        <w:rPr>
          <w:rFonts w:ascii="宋体" w:hAnsi="Times New Roman" w:eastAsia="Times New Roman"/>
          <w:b/>
          <w:color w:val="000000"/>
        </w:rPr>
        <w:t>线</w:t>
      </w:r>
      <w:r>
        <w:rPr>
          <w:rFonts w:ascii="宋体" w:hAnsi="宋体"/>
          <w:b/>
          <w:color w:val="000000"/>
        </w:rPr>
        <w:t>下翻转课堂面授教学（学时）</w:t>
      </w:r>
      <w:r>
        <w:rPr>
          <w:rFonts w:ascii="宋体" w:hAnsi="Times New Roman" w:eastAsia="Times New Roman"/>
          <w:b/>
          <w:color w:val="000000"/>
        </w:rPr>
        <w:t>：</w:t>
      </w:r>
      <w:r>
        <w:rPr>
          <w:rFonts w:hint="eastAsia" w:ascii="仿宋" w:hAnsi="仿宋" w:eastAsia="仿宋"/>
          <w:color w:val="FF0000"/>
        </w:rPr>
        <w:t>20</w:t>
      </w:r>
      <w:r>
        <w:rPr>
          <w:rFonts w:ascii="仿宋" w:hAnsi="仿宋" w:eastAsia="仿宋"/>
          <w:color w:val="FF0000"/>
        </w:rPr>
        <w:t>学时</w:t>
      </w:r>
      <w:r>
        <w:rPr>
          <w:rFonts w:hint="eastAsia" w:ascii="仿宋" w:hAnsi="仿宋" w:eastAsia="仿宋"/>
          <w:color w:val="FF0000"/>
        </w:rPr>
        <w:t xml:space="preserve"> </w:t>
      </w:r>
      <w:r>
        <w:rPr>
          <w:rFonts w:hint="eastAsia" w:ascii="宋体" w:hAnsi="Times New Roman" w:eastAsiaTheme="minorEastAsia"/>
          <w:b/>
          <w:color w:val="000000"/>
        </w:rPr>
        <w:t xml:space="preserve">        </w:t>
      </w:r>
    </w:p>
    <w:p w14:paraId="5D62F89E">
      <w:pPr>
        <w:spacing w:line="360" w:lineRule="auto"/>
        <w:jc w:val="left"/>
        <w:rPr>
          <w:rFonts w:ascii="宋体" w:hAnsi="Times New Roman" w:eastAsiaTheme="minorEastAsia"/>
          <w:b/>
          <w:color w:val="000000"/>
        </w:rPr>
      </w:pPr>
      <w:r>
        <w:rPr>
          <w:rFonts w:hint="eastAsia" w:ascii="宋体" w:hAnsi="Times New Roman" w:eastAsiaTheme="minorEastAsia"/>
          <w:b/>
          <w:color w:val="000000"/>
        </w:rPr>
        <w:t>M</w:t>
      </w:r>
      <w:r>
        <w:rPr>
          <w:rFonts w:ascii="宋体" w:hAnsi="Times New Roman" w:eastAsiaTheme="minorEastAsia"/>
          <w:b/>
          <w:color w:val="000000"/>
        </w:rPr>
        <w:t>OOC</w:t>
      </w:r>
      <w:r>
        <w:rPr>
          <w:rFonts w:hint="eastAsia" w:ascii="宋体" w:hAnsi="Times New Roman" w:eastAsiaTheme="minorEastAsia"/>
          <w:b/>
          <w:color w:val="000000"/>
        </w:rPr>
        <w:t>网址（面向社会学习者）：</w:t>
      </w:r>
      <w:bookmarkStart w:id="0" w:name="_GoBack"/>
      <w:bookmarkEnd w:id="0"/>
    </w:p>
    <w:p w14:paraId="62819BF3">
      <w:pPr>
        <w:spacing w:line="360" w:lineRule="auto"/>
        <w:jc w:val="left"/>
        <w:rPr>
          <w:rFonts w:ascii="宋体" w:hAnsi="Times New Roman" w:eastAsia="Times New Roman"/>
          <w:b/>
          <w:color w:val="000000"/>
        </w:rPr>
      </w:pPr>
      <w:r>
        <w:rPr>
          <w:rFonts w:ascii="宋体" w:hAnsi="Times New Roman" w:eastAsiaTheme="minorEastAsia"/>
          <w:b/>
          <w:color w:val="000000"/>
        </w:rPr>
        <w:t>SPOC</w:t>
      </w:r>
      <w:r>
        <w:rPr>
          <w:rFonts w:hint="eastAsia" w:ascii="宋体" w:hAnsi="Times New Roman" w:eastAsiaTheme="minorEastAsia"/>
          <w:b/>
          <w:color w:val="000000"/>
        </w:rPr>
        <w:t>网址（面向华工学生）：</w:t>
      </w:r>
    </w:p>
    <w:p w14:paraId="79B26B23">
      <w:pPr>
        <w:jc w:val="left"/>
        <w:rPr>
          <w:rFonts w:ascii="仿宋" w:hAnsi="仿宋" w:eastAsia="仿宋"/>
          <w:color w:val="000000"/>
        </w:rPr>
      </w:pPr>
      <w:r>
        <w:rPr>
          <w:rFonts w:hint="eastAsia" w:ascii="仿宋" w:hAnsi="仿宋" w:eastAsia="仿宋"/>
          <w:color w:val="000000"/>
        </w:rPr>
        <w:t>【注：教学形式包括但不仅限于讲授型面授课、翻转课堂面授课、直播课、M</w:t>
      </w:r>
      <w:r>
        <w:rPr>
          <w:rFonts w:ascii="仿宋" w:hAnsi="仿宋" w:eastAsia="仿宋"/>
          <w:color w:val="000000"/>
        </w:rPr>
        <w:t>OOC</w:t>
      </w:r>
      <w:r>
        <w:rPr>
          <w:rFonts w:hint="eastAsia" w:ascii="仿宋" w:hAnsi="仿宋" w:eastAsia="仿宋"/>
          <w:color w:val="000000"/>
        </w:rPr>
        <w:t>、</w:t>
      </w:r>
      <w:r>
        <w:rPr>
          <w:rFonts w:ascii="仿宋" w:hAnsi="仿宋" w:eastAsia="仿宋"/>
          <w:color w:val="000000"/>
        </w:rPr>
        <w:t>SPOC</w:t>
      </w:r>
      <w:r>
        <w:rPr>
          <w:rFonts w:hint="eastAsia" w:ascii="仿宋" w:hAnsi="仿宋" w:eastAsia="仿宋"/>
          <w:color w:val="000000"/>
        </w:rPr>
        <w:t>等；教学活动包括但不仅限于：小组讨论、学生汇报、项目实践、操作演练、讨论交流、作业完成、学生互评、教师点评等。】</w:t>
      </w:r>
    </w:p>
    <w:tbl>
      <w:tblPr>
        <w:tblStyle w:val="5"/>
        <w:tblW w:w="1395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1226"/>
        <w:gridCol w:w="1240"/>
        <w:gridCol w:w="761"/>
        <w:gridCol w:w="846"/>
        <w:gridCol w:w="1933"/>
        <w:gridCol w:w="3911"/>
        <w:gridCol w:w="3040"/>
      </w:tblGrid>
      <w:tr w14:paraId="67FC38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tblHeader/>
          <w:jc w:val="center"/>
        </w:trPr>
        <w:tc>
          <w:tcPr>
            <w:tcW w:w="996" w:type="dxa"/>
            <w:vMerge w:val="restart"/>
            <w:tcBorders>
              <w:right w:val="single" w:color="auto" w:sz="4" w:space="0"/>
            </w:tcBorders>
            <w:vAlign w:val="center"/>
          </w:tcPr>
          <w:p w14:paraId="1C61CF49">
            <w:pPr>
              <w:jc w:val="center"/>
              <w:rPr>
                <w:rFonts w:ascii="宋体" w:hAnsi="Times New Roman" w:eastAsiaTheme="minorEastAsia"/>
                <w:b/>
                <w:color w:val="000000"/>
              </w:rPr>
            </w:pPr>
            <w:r>
              <w:rPr>
                <w:rFonts w:hint="eastAsia" w:ascii="宋体" w:hAnsi="Times New Roman" w:eastAsiaTheme="minorEastAsia"/>
                <w:b/>
                <w:color w:val="000000"/>
              </w:rPr>
              <w:t>教学周</w:t>
            </w:r>
          </w:p>
        </w:tc>
        <w:tc>
          <w:tcPr>
            <w:tcW w:w="1226" w:type="dxa"/>
            <w:vMerge w:val="restart"/>
            <w:vAlign w:val="center"/>
          </w:tcPr>
          <w:p w14:paraId="1BE5577B">
            <w:pPr>
              <w:rPr>
                <w:rFonts w:ascii="宋体" w:hAnsi="Times New Roman" w:eastAsiaTheme="minorEastAsia"/>
                <w:b/>
                <w:color w:val="000000"/>
              </w:rPr>
            </w:pPr>
            <w:r>
              <w:rPr>
                <w:rFonts w:hint="eastAsia" w:ascii="宋体" w:hAnsi="Times New Roman" w:eastAsiaTheme="minorEastAsia"/>
                <w:b/>
                <w:color w:val="000000"/>
              </w:rPr>
              <w:t>计划安排</w:t>
            </w:r>
          </w:p>
        </w:tc>
        <w:tc>
          <w:tcPr>
            <w:tcW w:w="1240" w:type="dxa"/>
            <w:vMerge w:val="restart"/>
            <w:tcBorders>
              <w:right w:val="single" w:color="auto" w:sz="4" w:space="0"/>
            </w:tcBorders>
            <w:vAlign w:val="center"/>
          </w:tcPr>
          <w:p w14:paraId="47B65487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Times New Roman" w:eastAsia="Times New Roman"/>
                <w:b/>
                <w:color w:val="000000"/>
              </w:rPr>
              <w:t>学习单元名称</w:t>
            </w:r>
          </w:p>
        </w:tc>
        <w:tc>
          <w:tcPr>
            <w:tcW w:w="761" w:type="dxa"/>
            <w:vMerge w:val="restart"/>
            <w:tcBorders>
              <w:right w:val="single" w:color="auto" w:sz="4" w:space="0"/>
            </w:tcBorders>
            <w:vAlign w:val="center"/>
          </w:tcPr>
          <w:p w14:paraId="78660133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教学形式</w:t>
            </w:r>
          </w:p>
        </w:tc>
        <w:tc>
          <w:tcPr>
            <w:tcW w:w="846" w:type="dxa"/>
            <w:vMerge w:val="restart"/>
            <w:tcBorders>
              <w:left w:val="single" w:color="auto" w:sz="4" w:space="0"/>
            </w:tcBorders>
            <w:vAlign w:val="center"/>
          </w:tcPr>
          <w:p w14:paraId="5DCEA852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上课地点</w:t>
            </w:r>
          </w:p>
        </w:tc>
        <w:tc>
          <w:tcPr>
            <w:tcW w:w="8884" w:type="dxa"/>
            <w:gridSpan w:val="3"/>
            <w:tcBorders>
              <w:bottom w:val="single" w:color="auto" w:sz="4" w:space="0"/>
            </w:tcBorders>
            <w:vAlign w:val="center"/>
          </w:tcPr>
          <w:p w14:paraId="0F11B649">
            <w:pPr>
              <w:jc w:val="center"/>
              <w:rPr>
                <w:rFonts w:ascii="宋体" w:hAnsi="宋体" w:eastAsiaTheme="minorEastAsia"/>
                <w:b/>
                <w:color w:val="000000"/>
              </w:rPr>
            </w:pPr>
            <w:r>
              <w:rPr>
                <w:rFonts w:hint="eastAsia" w:ascii="宋体" w:hAnsi="Times New Roman" w:eastAsiaTheme="minorEastAsia"/>
                <w:b/>
                <w:color w:val="000000"/>
              </w:rPr>
              <w:t>主要教学内容及教与学流程/活动</w:t>
            </w:r>
          </w:p>
        </w:tc>
      </w:tr>
      <w:tr w14:paraId="24BE3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tblHeader/>
          <w:jc w:val="center"/>
        </w:trPr>
        <w:tc>
          <w:tcPr>
            <w:tcW w:w="996" w:type="dxa"/>
            <w:vMerge w:val="continue"/>
            <w:tcBorders>
              <w:right w:val="single" w:color="auto" w:sz="4" w:space="0"/>
            </w:tcBorders>
            <w:vAlign w:val="center"/>
          </w:tcPr>
          <w:p w14:paraId="706C58CA">
            <w:pPr>
              <w:jc w:val="center"/>
              <w:rPr>
                <w:rFonts w:ascii="宋体" w:hAnsi="Times New Roman" w:eastAsiaTheme="minorEastAsia"/>
                <w:b/>
                <w:color w:val="000000"/>
              </w:rPr>
            </w:pPr>
          </w:p>
        </w:tc>
        <w:tc>
          <w:tcPr>
            <w:tcW w:w="1226" w:type="dxa"/>
            <w:vMerge w:val="continue"/>
            <w:vAlign w:val="center"/>
          </w:tcPr>
          <w:p w14:paraId="565EAD90">
            <w:pPr>
              <w:rPr>
                <w:rFonts w:ascii="宋体" w:hAnsi="Times New Roman" w:eastAsiaTheme="minorEastAsia"/>
                <w:b/>
                <w:color w:val="000000"/>
              </w:rPr>
            </w:pPr>
          </w:p>
        </w:tc>
        <w:tc>
          <w:tcPr>
            <w:tcW w:w="1240" w:type="dxa"/>
            <w:vMerge w:val="continue"/>
            <w:tcBorders>
              <w:right w:val="single" w:color="auto" w:sz="4" w:space="0"/>
            </w:tcBorders>
            <w:vAlign w:val="center"/>
          </w:tcPr>
          <w:p w14:paraId="70108D3B">
            <w:pPr>
              <w:jc w:val="center"/>
              <w:rPr>
                <w:rFonts w:ascii="宋体" w:hAnsi="Times New Roman" w:eastAsia="Times New Roman"/>
                <w:b/>
                <w:color w:val="000000"/>
              </w:rPr>
            </w:pPr>
          </w:p>
        </w:tc>
        <w:tc>
          <w:tcPr>
            <w:tcW w:w="761" w:type="dxa"/>
            <w:vMerge w:val="continue"/>
            <w:tcBorders>
              <w:right w:val="single" w:color="auto" w:sz="4" w:space="0"/>
            </w:tcBorders>
            <w:vAlign w:val="center"/>
          </w:tcPr>
          <w:p w14:paraId="30F0151E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846" w:type="dxa"/>
            <w:vMerge w:val="continue"/>
            <w:tcBorders>
              <w:left w:val="single" w:color="auto" w:sz="4" w:space="0"/>
            </w:tcBorders>
            <w:vAlign w:val="center"/>
          </w:tcPr>
          <w:p w14:paraId="152AAA24">
            <w:pPr>
              <w:jc w:val="center"/>
              <w:rPr>
                <w:rFonts w:ascii="宋体" w:hAnsi="宋体"/>
                <w:b/>
                <w:color w:val="000000"/>
              </w:rPr>
            </w:pPr>
          </w:p>
        </w:tc>
        <w:tc>
          <w:tcPr>
            <w:tcW w:w="1933" w:type="dxa"/>
            <w:tcBorders>
              <w:top w:val="single" w:color="auto" w:sz="4" w:space="0"/>
            </w:tcBorders>
            <w:vAlign w:val="center"/>
          </w:tcPr>
          <w:p w14:paraId="631A446E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课前</w:t>
            </w:r>
          </w:p>
        </w:tc>
        <w:tc>
          <w:tcPr>
            <w:tcW w:w="3911" w:type="dxa"/>
            <w:tcBorders>
              <w:top w:val="single" w:color="auto" w:sz="4" w:space="0"/>
            </w:tcBorders>
            <w:vAlign w:val="center"/>
          </w:tcPr>
          <w:p w14:paraId="16DD95FE">
            <w:pPr>
              <w:jc w:val="center"/>
              <w:rPr>
                <w:rFonts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课中</w:t>
            </w:r>
          </w:p>
        </w:tc>
        <w:tc>
          <w:tcPr>
            <w:tcW w:w="3040" w:type="dxa"/>
            <w:tcBorders>
              <w:top w:val="single" w:color="auto" w:sz="4" w:space="0"/>
            </w:tcBorders>
            <w:vAlign w:val="center"/>
          </w:tcPr>
          <w:p w14:paraId="1CB2CBCB">
            <w:pPr>
              <w:jc w:val="center"/>
              <w:rPr>
                <w:rFonts w:ascii="宋体" w:hAnsi="Times New Roman" w:eastAsia="Times New Roman"/>
                <w:b/>
                <w:color w:val="000000"/>
              </w:rPr>
            </w:pPr>
            <w:r>
              <w:rPr>
                <w:rFonts w:ascii="宋体" w:hAnsi="Times New Roman" w:eastAsia="Times New Roman"/>
                <w:b/>
                <w:color w:val="000000"/>
              </w:rPr>
              <w:t>课</w:t>
            </w:r>
            <w:r>
              <w:rPr>
                <w:rFonts w:hint="eastAsia" w:ascii="宋体" w:hAnsi="Times New Roman" w:eastAsiaTheme="minorEastAsia"/>
                <w:b/>
                <w:color w:val="000000"/>
              </w:rPr>
              <w:t>后</w:t>
            </w:r>
          </w:p>
        </w:tc>
      </w:tr>
      <w:tr w14:paraId="062544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9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03E29A03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第一周</w:t>
            </w:r>
          </w:p>
        </w:tc>
        <w:tc>
          <w:tcPr>
            <w:tcW w:w="1226" w:type="dxa"/>
            <w:tcBorders>
              <w:top w:val="single" w:color="auto" w:sz="4" w:space="0"/>
            </w:tcBorders>
            <w:vAlign w:val="center"/>
          </w:tcPr>
          <w:p w14:paraId="58ACF581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ascii="仿宋" w:hAnsi="仿宋" w:eastAsia="仿宋"/>
                <w:color w:val="FF0000"/>
              </w:rPr>
              <w:t>第1-2学时</w:t>
            </w:r>
          </w:p>
        </w:tc>
        <w:tc>
          <w:tcPr>
            <w:tcW w:w="124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0B2BBEB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认识MOOCs</w:t>
            </w:r>
          </w:p>
        </w:tc>
        <w:tc>
          <w:tcPr>
            <w:tcW w:w="761" w:type="dxa"/>
            <w:tcBorders>
              <w:right w:val="single" w:color="auto" w:sz="4" w:space="0"/>
            </w:tcBorders>
            <w:vAlign w:val="center"/>
          </w:tcPr>
          <w:p w14:paraId="403E15A3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讲授型面授课</w:t>
            </w: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 w14:paraId="1BA02D0B"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ascii="仿宋" w:hAnsi="仿宋" w:eastAsia="仿宋"/>
                <w:color w:val="FF0000"/>
              </w:rPr>
              <w:t>1</w:t>
            </w:r>
            <w:r>
              <w:rPr>
                <w:rFonts w:hint="eastAsia" w:ascii="仿宋" w:hAnsi="仿宋" w:eastAsia="仿宋"/>
                <w:color w:val="FF0000"/>
              </w:rPr>
              <w:t>号楼1</w:t>
            </w:r>
            <w:r>
              <w:rPr>
                <w:rFonts w:ascii="仿宋" w:hAnsi="仿宋" w:eastAsia="仿宋"/>
                <w:color w:val="FF0000"/>
              </w:rPr>
              <w:t>304</w:t>
            </w:r>
            <w:r>
              <w:rPr>
                <w:rFonts w:hint="eastAsia" w:ascii="仿宋" w:hAnsi="仿宋" w:eastAsia="仿宋"/>
                <w:color w:val="FF0000"/>
              </w:rPr>
              <w:t>（智慧教室）</w:t>
            </w:r>
          </w:p>
        </w:tc>
        <w:tc>
          <w:tcPr>
            <w:tcW w:w="1933" w:type="dxa"/>
            <w:vAlign w:val="center"/>
          </w:tcPr>
          <w:p w14:paraId="5425F87C">
            <w:pPr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3911" w:type="dxa"/>
            <w:vAlign w:val="center"/>
          </w:tcPr>
          <w:p w14:paraId="685D36F5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教师：介绍本课程的主要内容、先修课程或知识、课程修读方法、基于M</w:t>
            </w:r>
            <w:r>
              <w:rPr>
                <w:rFonts w:ascii="仿宋" w:hAnsi="仿宋" w:eastAsia="仿宋"/>
                <w:color w:val="FF0000"/>
              </w:rPr>
              <w:t>OOC</w:t>
            </w:r>
            <w:r>
              <w:rPr>
                <w:rFonts w:hint="eastAsia" w:ascii="仿宋" w:hAnsi="仿宋" w:eastAsia="仿宋"/>
                <w:color w:val="FF0000"/>
              </w:rPr>
              <w:t>的翻转课堂学习方法、课程考核方法等。</w:t>
            </w:r>
          </w:p>
          <w:p w14:paraId="0527C097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阐述导论及第一章重点及难点讲解。（与M</w:t>
            </w:r>
            <w:r>
              <w:rPr>
                <w:rFonts w:ascii="仿宋" w:hAnsi="仿宋" w:eastAsia="仿宋"/>
                <w:color w:val="FF0000"/>
              </w:rPr>
              <w:t>OOC</w:t>
            </w:r>
            <w:r>
              <w:rPr>
                <w:rFonts w:hint="eastAsia" w:ascii="仿宋" w:hAnsi="仿宋" w:eastAsia="仿宋"/>
                <w:color w:val="FF0000"/>
              </w:rPr>
              <w:t>第一讲的内容互补）</w:t>
            </w:r>
          </w:p>
        </w:tc>
        <w:tc>
          <w:tcPr>
            <w:tcW w:w="3040" w:type="dxa"/>
            <w:vAlign w:val="center"/>
          </w:tcPr>
          <w:p w14:paraId="0F9741E7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学生：完成S</w:t>
            </w:r>
            <w:r>
              <w:rPr>
                <w:rFonts w:ascii="仿宋" w:hAnsi="仿宋" w:eastAsia="仿宋"/>
                <w:color w:val="FF0000"/>
              </w:rPr>
              <w:t>POC</w:t>
            </w:r>
            <w:r>
              <w:rPr>
                <w:rFonts w:hint="eastAsia" w:ascii="仿宋" w:hAnsi="仿宋" w:eastAsia="仿宋"/>
                <w:color w:val="FF0000"/>
              </w:rPr>
              <w:t>第一讲的内容（包括视频及学习资料、参与讨论、完成习题和作业等）。</w:t>
            </w:r>
          </w:p>
          <w:p w14:paraId="33B7E44B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教师：线上答疑、批改作业。</w:t>
            </w:r>
          </w:p>
        </w:tc>
      </w:tr>
      <w:tr w14:paraId="4F271A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96" w:type="dxa"/>
            <w:tcBorders>
              <w:right w:val="single" w:color="auto" w:sz="4" w:space="0"/>
            </w:tcBorders>
            <w:vAlign w:val="center"/>
          </w:tcPr>
          <w:p w14:paraId="4BBF75B2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第二周</w:t>
            </w:r>
          </w:p>
        </w:tc>
        <w:tc>
          <w:tcPr>
            <w:tcW w:w="1226" w:type="dxa"/>
            <w:vAlign w:val="center"/>
          </w:tcPr>
          <w:p w14:paraId="2925C967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第3-4学时</w:t>
            </w:r>
          </w:p>
        </w:tc>
        <w:tc>
          <w:tcPr>
            <w:tcW w:w="1240" w:type="dxa"/>
            <w:tcBorders>
              <w:right w:val="single" w:color="auto" w:sz="4" w:space="0"/>
            </w:tcBorders>
            <w:vAlign w:val="center"/>
          </w:tcPr>
          <w:p w14:paraId="101895C2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MOOCs建课初探（1）</w:t>
            </w:r>
          </w:p>
        </w:tc>
        <w:tc>
          <w:tcPr>
            <w:tcW w:w="761" w:type="dxa"/>
            <w:tcBorders>
              <w:right w:val="single" w:color="auto" w:sz="4" w:space="0"/>
            </w:tcBorders>
            <w:vAlign w:val="center"/>
          </w:tcPr>
          <w:p w14:paraId="69EA8F6D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线上</w:t>
            </w: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 w14:paraId="58614326"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ascii="仿宋" w:hAnsi="仿宋" w:eastAsia="仿宋"/>
                <w:color w:val="FF0000"/>
              </w:rPr>
              <w:t>SPOC</w:t>
            </w:r>
          </w:p>
        </w:tc>
        <w:tc>
          <w:tcPr>
            <w:tcW w:w="8884" w:type="dxa"/>
            <w:gridSpan w:val="3"/>
            <w:vAlign w:val="center"/>
          </w:tcPr>
          <w:p w14:paraId="57344AB9">
            <w:pPr>
              <w:jc w:val="left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学生：学习</w:t>
            </w:r>
            <w:r>
              <w:rPr>
                <w:rFonts w:ascii="仿宋" w:hAnsi="仿宋" w:eastAsia="仿宋"/>
                <w:color w:val="FF0000"/>
              </w:rPr>
              <w:t>SPOC</w:t>
            </w:r>
            <w:r>
              <w:rPr>
                <w:rFonts w:hint="eastAsia" w:ascii="仿宋" w:hAnsi="仿宋" w:eastAsia="仿宋"/>
                <w:color w:val="FF0000"/>
              </w:rPr>
              <w:t>第二讲；完成课前作业网络自学；每位同学至少提出1个疑问，学生之间互相回答。</w:t>
            </w:r>
          </w:p>
          <w:p w14:paraId="5AA0B388">
            <w:pPr>
              <w:jc w:val="left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教师：线上答疑，批改作业。</w:t>
            </w:r>
          </w:p>
        </w:tc>
      </w:tr>
      <w:tr w14:paraId="4945B4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96" w:type="dxa"/>
            <w:tcBorders>
              <w:right w:val="single" w:color="auto" w:sz="4" w:space="0"/>
            </w:tcBorders>
            <w:vAlign w:val="center"/>
          </w:tcPr>
          <w:p w14:paraId="18BAB243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第三周</w:t>
            </w:r>
          </w:p>
        </w:tc>
        <w:tc>
          <w:tcPr>
            <w:tcW w:w="1226" w:type="dxa"/>
            <w:vAlign w:val="center"/>
          </w:tcPr>
          <w:p w14:paraId="53E6B656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第5-6学时</w:t>
            </w:r>
          </w:p>
        </w:tc>
        <w:tc>
          <w:tcPr>
            <w:tcW w:w="1240" w:type="dxa"/>
            <w:tcBorders>
              <w:right w:val="single" w:color="auto" w:sz="4" w:space="0"/>
            </w:tcBorders>
            <w:vAlign w:val="center"/>
          </w:tcPr>
          <w:p w14:paraId="14FA41E9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MOOCs建课初探（</w:t>
            </w:r>
            <w:r>
              <w:rPr>
                <w:rFonts w:ascii="仿宋" w:hAnsi="仿宋" w:eastAsia="仿宋"/>
                <w:color w:val="FF0000"/>
              </w:rPr>
              <w:t>2</w:t>
            </w:r>
            <w:r>
              <w:rPr>
                <w:rFonts w:hint="eastAsia" w:ascii="仿宋" w:hAnsi="仿宋" w:eastAsia="仿宋"/>
                <w:color w:val="FF0000"/>
              </w:rPr>
              <w:t>）</w:t>
            </w:r>
          </w:p>
        </w:tc>
        <w:tc>
          <w:tcPr>
            <w:tcW w:w="761" w:type="dxa"/>
            <w:tcBorders>
              <w:right w:val="single" w:color="auto" w:sz="4" w:space="0"/>
            </w:tcBorders>
            <w:vAlign w:val="center"/>
          </w:tcPr>
          <w:p w14:paraId="51F53C2C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翻转课堂面授课</w:t>
            </w: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 w14:paraId="4A4B3FD2"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ascii="仿宋" w:hAnsi="仿宋" w:eastAsia="仿宋"/>
                <w:color w:val="FF0000"/>
              </w:rPr>
              <w:t>1</w:t>
            </w:r>
            <w:r>
              <w:rPr>
                <w:rFonts w:hint="eastAsia" w:ascii="仿宋" w:hAnsi="仿宋" w:eastAsia="仿宋"/>
                <w:color w:val="FF0000"/>
              </w:rPr>
              <w:t>号楼1</w:t>
            </w:r>
            <w:r>
              <w:rPr>
                <w:rFonts w:ascii="仿宋" w:hAnsi="仿宋" w:eastAsia="仿宋"/>
                <w:color w:val="FF0000"/>
              </w:rPr>
              <w:t>304</w:t>
            </w:r>
            <w:r>
              <w:rPr>
                <w:rFonts w:hint="eastAsia" w:ascii="仿宋" w:hAnsi="仿宋" w:eastAsia="仿宋"/>
                <w:color w:val="FF0000"/>
              </w:rPr>
              <w:t>（智慧教室）</w:t>
            </w:r>
          </w:p>
        </w:tc>
        <w:tc>
          <w:tcPr>
            <w:tcW w:w="1933" w:type="dxa"/>
            <w:vAlign w:val="center"/>
          </w:tcPr>
          <w:p w14:paraId="619559BA">
            <w:pPr>
              <w:jc w:val="left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教师：根据第二周线上学习，特别是是学生疑问及问题回答情况，调整课堂教学内容。</w:t>
            </w:r>
          </w:p>
        </w:tc>
        <w:tc>
          <w:tcPr>
            <w:tcW w:w="3911" w:type="dxa"/>
            <w:vAlign w:val="center"/>
          </w:tcPr>
          <w:p w14:paraId="2003108F">
            <w:pPr>
              <w:jc w:val="left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教师：剖析线上作业；讲解MOOCs建课过程的疑难问题。</w:t>
            </w:r>
          </w:p>
          <w:p w14:paraId="1B47AB89">
            <w:pPr>
              <w:jc w:val="left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学生小组讨论：以传统课程中的一个知识点为例，阐述如何快速将其转化为适合慕课讲解的内容，包括：如何重新编排知识内容，充分利用现有资源？如何编写模块化教学设计？</w:t>
            </w:r>
          </w:p>
          <w:p w14:paraId="734A77D0">
            <w:pPr>
              <w:jc w:val="left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教师指导：老师逐一指导每个小组的设计</w:t>
            </w:r>
          </w:p>
          <w:p w14:paraId="4C397228">
            <w:pPr>
              <w:jc w:val="left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小组汇报：所编写的教学设计方案；小组成员及其他小组的互评、教师点评。</w:t>
            </w:r>
          </w:p>
          <w:p w14:paraId="4A4861E8">
            <w:pPr>
              <w:jc w:val="left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学生：修改和完善教学设计方案，提交至S</w:t>
            </w:r>
            <w:r>
              <w:rPr>
                <w:rFonts w:ascii="仿宋" w:hAnsi="仿宋" w:eastAsia="仿宋"/>
                <w:color w:val="FF0000"/>
              </w:rPr>
              <w:t>POC</w:t>
            </w:r>
            <w:r>
              <w:rPr>
                <w:rFonts w:hint="eastAsia" w:ascii="仿宋" w:hAnsi="仿宋" w:eastAsia="仿宋"/>
                <w:color w:val="FF0000"/>
              </w:rPr>
              <w:t>平台</w:t>
            </w:r>
          </w:p>
        </w:tc>
        <w:tc>
          <w:tcPr>
            <w:tcW w:w="3040" w:type="dxa"/>
            <w:vAlign w:val="center"/>
          </w:tcPr>
          <w:p w14:paraId="3B814F24">
            <w:pPr>
              <w:jc w:val="left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学生：互评作业。</w:t>
            </w:r>
          </w:p>
          <w:p w14:paraId="5A338C03">
            <w:pPr>
              <w:jc w:val="left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教师：作业评分。</w:t>
            </w:r>
          </w:p>
        </w:tc>
      </w:tr>
      <w:tr w14:paraId="7DBB3B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96" w:type="dxa"/>
            <w:tcBorders>
              <w:right w:val="single" w:color="auto" w:sz="4" w:space="0"/>
            </w:tcBorders>
            <w:vAlign w:val="center"/>
          </w:tcPr>
          <w:p w14:paraId="28125E0A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第四周</w:t>
            </w:r>
          </w:p>
        </w:tc>
        <w:tc>
          <w:tcPr>
            <w:tcW w:w="1226" w:type="dxa"/>
            <w:vAlign w:val="center"/>
          </w:tcPr>
          <w:p w14:paraId="181FDC93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第7-</w:t>
            </w:r>
            <w:r>
              <w:rPr>
                <w:rFonts w:ascii="仿宋" w:hAnsi="仿宋" w:eastAsia="仿宋"/>
                <w:color w:val="FF0000"/>
              </w:rPr>
              <w:t>8</w:t>
            </w:r>
            <w:r>
              <w:rPr>
                <w:rFonts w:hint="eastAsia" w:ascii="仿宋" w:hAnsi="仿宋" w:eastAsia="仿宋"/>
                <w:color w:val="FF0000"/>
              </w:rPr>
              <w:t>学时</w:t>
            </w:r>
          </w:p>
        </w:tc>
        <w:tc>
          <w:tcPr>
            <w:tcW w:w="1240" w:type="dxa"/>
            <w:tcBorders>
              <w:right w:val="single" w:color="auto" w:sz="4" w:space="0"/>
            </w:tcBorders>
            <w:vAlign w:val="center"/>
          </w:tcPr>
          <w:p w14:paraId="67DA8A8F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我的M</w:t>
            </w:r>
            <w:r>
              <w:rPr>
                <w:rFonts w:ascii="仿宋" w:hAnsi="仿宋" w:eastAsia="仿宋"/>
                <w:color w:val="FF0000"/>
              </w:rPr>
              <w:t>OOC</w:t>
            </w:r>
            <w:r>
              <w:rPr>
                <w:rFonts w:hint="eastAsia" w:ascii="仿宋" w:hAnsi="仿宋" w:eastAsia="仿宋"/>
                <w:color w:val="FF0000"/>
              </w:rPr>
              <w:t>建设之路</w:t>
            </w:r>
          </w:p>
        </w:tc>
        <w:tc>
          <w:tcPr>
            <w:tcW w:w="761" w:type="dxa"/>
            <w:tcBorders>
              <w:right w:val="single" w:color="auto" w:sz="4" w:space="0"/>
            </w:tcBorders>
          </w:tcPr>
          <w:p w14:paraId="299344CF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全国直播课</w:t>
            </w: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 w14:paraId="3A0FD554"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M</w:t>
            </w:r>
            <w:r>
              <w:rPr>
                <w:rFonts w:ascii="仿宋" w:hAnsi="仿宋" w:eastAsia="仿宋"/>
                <w:color w:val="FF0000"/>
              </w:rPr>
              <w:t>OOC</w:t>
            </w:r>
          </w:p>
        </w:tc>
        <w:tc>
          <w:tcPr>
            <w:tcW w:w="5844" w:type="dxa"/>
            <w:gridSpan w:val="2"/>
            <w:vAlign w:val="center"/>
          </w:tcPr>
          <w:p w14:paraId="705F2F72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教师针对课程的热点开展全国直播课，学生与M</w:t>
            </w:r>
            <w:r>
              <w:rPr>
                <w:rFonts w:ascii="仿宋" w:hAnsi="仿宋" w:eastAsia="仿宋"/>
                <w:color w:val="FF0000"/>
              </w:rPr>
              <w:t>OOC</w:t>
            </w:r>
            <w:r>
              <w:rPr>
                <w:rFonts w:hint="eastAsia" w:ascii="仿宋" w:hAnsi="仿宋" w:eastAsia="仿宋"/>
                <w:color w:val="FF0000"/>
              </w:rPr>
              <w:t>的社会学习者一同，在M</w:t>
            </w:r>
            <w:r>
              <w:rPr>
                <w:rFonts w:ascii="仿宋" w:hAnsi="仿宋" w:eastAsia="仿宋"/>
                <w:color w:val="FF0000"/>
              </w:rPr>
              <w:t>OOC</w:t>
            </w:r>
            <w:r>
              <w:rPr>
                <w:rFonts w:hint="eastAsia" w:ascii="仿宋" w:hAnsi="仿宋" w:eastAsia="仿宋"/>
                <w:color w:val="FF0000"/>
              </w:rPr>
              <w:t>平台收看直播课。</w:t>
            </w:r>
          </w:p>
        </w:tc>
        <w:tc>
          <w:tcPr>
            <w:tcW w:w="3040" w:type="dxa"/>
            <w:vAlign w:val="center"/>
          </w:tcPr>
          <w:p w14:paraId="694BA421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学生：完成课程作业X</w:t>
            </w:r>
            <w:r>
              <w:rPr>
                <w:rFonts w:ascii="仿宋" w:hAnsi="仿宋" w:eastAsia="仿宋"/>
                <w:color w:val="FF0000"/>
              </w:rPr>
              <w:t>XX</w:t>
            </w:r>
            <w:r>
              <w:rPr>
                <w:rFonts w:hint="eastAsia" w:ascii="仿宋" w:hAnsi="仿宋" w:eastAsia="仿宋"/>
                <w:color w:val="FF0000"/>
              </w:rPr>
              <w:t>。</w:t>
            </w:r>
          </w:p>
        </w:tc>
      </w:tr>
      <w:tr w14:paraId="4C99C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96" w:type="dxa"/>
            <w:tcBorders>
              <w:right w:val="single" w:color="auto" w:sz="4" w:space="0"/>
            </w:tcBorders>
            <w:vAlign w:val="center"/>
          </w:tcPr>
          <w:p w14:paraId="252DDC9A">
            <w:pPr>
              <w:rPr>
                <w:rFonts w:hAnsi="Times New Roman" w:eastAsiaTheme="minorEastAsia"/>
                <w:color w:val="FF0000"/>
              </w:rPr>
            </w:pPr>
          </w:p>
        </w:tc>
        <w:tc>
          <w:tcPr>
            <w:tcW w:w="1226" w:type="dxa"/>
            <w:vAlign w:val="center"/>
          </w:tcPr>
          <w:p w14:paraId="3E9ADA78">
            <w:pPr>
              <w:rPr>
                <w:rFonts w:hAnsi="Times New Roman" w:eastAsia="Times New Roman"/>
                <w:color w:val="FF0000"/>
              </w:rPr>
            </w:pPr>
          </w:p>
        </w:tc>
        <w:tc>
          <w:tcPr>
            <w:tcW w:w="1240" w:type="dxa"/>
            <w:tcBorders>
              <w:right w:val="single" w:color="auto" w:sz="4" w:space="0"/>
            </w:tcBorders>
            <w:vAlign w:val="center"/>
          </w:tcPr>
          <w:p w14:paraId="168FCFA4">
            <w:pPr>
              <w:rPr>
                <w:rFonts w:hAnsi="Times New Roman" w:eastAsia="Times New Roman"/>
                <w:color w:val="FF0000"/>
              </w:rPr>
            </w:pPr>
          </w:p>
        </w:tc>
        <w:tc>
          <w:tcPr>
            <w:tcW w:w="761" w:type="dxa"/>
            <w:tcBorders>
              <w:right w:val="single" w:color="auto" w:sz="4" w:space="0"/>
            </w:tcBorders>
          </w:tcPr>
          <w:p w14:paraId="4215D1EA">
            <w:pPr>
              <w:rPr>
                <w:rFonts w:hAnsi="宋体"/>
                <w:color w:val="FF0000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 w14:paraId="0C779C3E">
            <w:pPr>
              <w:jc w:val="center"/>
              <w:rPr>
                <w:rFonts w:hAnsi="宋体"/>
                <w:color w:val="FF0000"/>
              </w:rPr>
            </w:pPr>
          </w:p>
        </w:tc>
        <w:tc>
          <w:tcPr>
            <w:tcW w:w="1933" w:type="dxa"/>
            <w:vAlign w:val="center"/>
          </w:tcPr>
          <w:p w14:paraId="48B484EE">
            <w:pPr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3911" w:type="dxa"/>
            <w:vAlign w:val="center"/>
          </w:tcPr>
          <w:p w14:paraId="7D0B6C9E">
            <w:pPr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3040" w:type="dxa"/>
            <w:vAlign w:val="center"/>
          </w:tcPr>
          <w:p w14:paraId="5D10791F">
            <w:pPr>
              <w:rPr>
                <w:rFonts w:ascii="仿宋" w:hAnsi="仿宋" w:eastAsia="仿宋"/>
                <w:color w:val="FF0000"/>
              </w:rPr>
            </w:pPr>
          </w:p>
        </w:tc>
      </w:tr>
      <w:tr w14:paraId="003684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96" w:type="dxa"/>
            <w:tcBorders>
              <w:right w:val="single" w:color="auto" w:sz="4" w:space="0"/>
            </w:tcBorders>
            <w:vAlign w:val="center"/>
          </w:tcPr>
          <w:p w14:paraId="5B915B1C">
            <w:pPr>
              <w:rPr>
                <w:rFonts w:hAnsi="Times New Roman" w:eastAsiaTheme="minorEastAsia"/>
                <w:color w:val="FF0000"/>
              </w:rPr>
            </w:pPr>
          </w:p>
        </w:tc>
        <w:tc>
          <w:tcPr>
            <w:tcW w:w="1226" w:type="dxa"/>
            <w:vAlign w:val="center"/>
          </w:tcPr>
          <w:p w14:paraId="050FCFAB">
            <w:pPr>
              <w:rPr>
                <w:rFonts w:hAnsi="Times New Roman" w:eastAsia="Times New Roman"/>
                <w:color w:val="FF0000"/>
              </w:rPr>
            </w:pPr>
          </w:p>
        </w:tc>
        <w:tc>
          <w:tcPr>
            <w:tcW w:w="1240" w:type="dxa"/>
            <w:tcBorders>
              <w:right w:val="single" w:color="auto" w:sz="4" w:space="0"/>
            </w:tcBorders>
            <w:vAlign w:val="center"/>
          </w:tcPr>
          <w:p w14:paraId="54E18884">
            <w:pPr>
              <w:rPr>
                <w:rFonts w:hAnsi="Times New Roman" w:eastAsia="Times New Roman"/>
                <w:color w:val="FF0000"/>
              </w:rPr>
            </w:pPr>
          </w:p>
        </w:tc>
        <w:tc>
          <w:tcPr>
            <w:tcW w:w="761" w:type="dxa"/>
            <w:tcBorders>
              <w:right w:val="single" w:color="auto" w:sz="4" w:space="0"/>
            </w:tcBorders>
          </w:tcPr>
          <w:p w14:paraId="781BD9F2">
            <w:pPr>
              <w:rPr>
                <w:rFonts w:hAnsi="宋体"/>
                <w:color w:val="FF0000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 w14:paraId="6761DE2D">
            <w:pPr>
              <w:jc w:val="center"/>
              <w:rPr>
                <w:rFonts w:hAnsi="宋体"/>
                <w:color w:val="FF0000"/>
              </w:rPr>
            </w:pPr>
          </w:p>
        </w:tc>
        <w:tc>
          <w:tcPr>
            <w:tcW w:w="1933" w:type="dxa"/>
            <w:vAlign w:val="center"/>
          </w:tcPr>
          <w:p w14:paraId="27CDE94D">
            <w:pPr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3911" w:type="dxa"/>
            <w:vAlign w:val="center"/>
          </w:tcPr>
          <w:p w14:paraId="21F1DE8D">
            <w:pPr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3040" w:type="dxa"/>
            <w:vAlign w:val="center"/>
          </w:tcPr>
          <w:p w14:paraId="3C618A63">
            <w:pPr>
              <w:rPr>
                <w:rFonts w:ascii="仿宋" w:hAnsi="仿宋" w:eastAsia="仿宋"/>
                <w:color w:val="FF0000"/>
              </w:rPr>
            </w:pPr>
          </w:p>
        </w:tc>
      </w:tr>
      <w:tr w14:paraId="0A8454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96" w:type="dxa"/>
            <w:tcBorders>
              <w:right w:val="single" w:color="auto" w:sz="4" w:space="0"/>
            </w:tcBorders>
            <w:vAlign w:val="center"/>
          </w:tcPr>
          <w:p w14:paraId="076DA2D3">
            <w:pPr>
              <w:rPr>
                <w:rFonts w:hAnsi="Times New Roman" w:eastAsiaTheme="minorEastAsia"/>
                <w:color w:val="FF0000"/>
              </w:rPr>
            </w:pPr>
          </w:p>
        </w:tc>
        <w:tc>
          <w:tcPr>
            <w:tcW w:w="1226" w:type="dxa"/>
            <w:vAlign w:val="center"/>
          </w:tcPr>
          <w:p w14:paraId="45644D44">
            <w:pPr>
              <w:rPr>
                <w:rFonts w:hAnsi="Times New Roman" w:eastAsia="Times New Roman"/>
                <w:color w:val="FF0000"/>
              </w:rPr>
            </w:pPr>
          </w:p>
        </w:tc>
        <w:tc>
          <w:tcPr>
            <w:tcW w:w="1240" w:type="dxa"/>
            <w:tcBorders>
              <w:right w:val="single" w:color="auto" w:sz="4" w:space="0"/>
            </w:tcBorders>
            <w:vAlign w:val="center"/>
          </w:tcPr>
          <w:p w14:paraId="116CB640">
            <w:pPr>
              <w:rPr>
                <w:rFonts w:hAnsi="Times New Roman" w:eastAsia="Times New Roman"/>
                <w:color w:val="FF0000"/>
              </w:rPr>
            </w:pPr>
          </w:p>
        </w:tc>
        <w:tc>
          <w:tcPr>
            <w:tcW w:w="761" w:type="dxa"/>
            <w:tcBorders>
              <w:right w:val="single" w:color="auto" w:sz="4" w:space="0"/>
            </w:tcBorders>
          </w:tcPr>
          <w:p w14:paraId="7F4875D6">
            <w:pPr>
              <w:rPr>
                <w:rFonts w:hAnsi="宋体"/>
                <w:color w:val="FF0000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 w14:paraId="52198209">
            <w:pPr>
              <w:jc w:val="center"/>
              <w:rPr>
                <w:rFonts w:hAnsi="宋体"/>
                <w:color w:val="FF0000"/>
              </w:rPr>
            </w:pPr>
          </w:p>
        </w:tc>
        <w:tc>
          <w:tcPr>
            <w:tcW w:w="1933" w:type="dxa"/>
            <w:vAlign w:val="center"/>
          </w:tcPr>
          <w:p w14:paraId="70A97057">
            <w:pPr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3911" w:type="dxa"/>
            <w:vAlign w:val="center"/>
          </w:tcPr>
          <w:p w14:paraId="7E37FF5E">
            <w:pPr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3040" w:type="dxa"/>
            <w:vAlign w:val="center"/>
          </w:tcPr>
          <w:p w14:paraId="676A1013">
            <w:pPr>
              <w:rPr>
                <w:rFonts w:ascii="仿宋" w:hAnsi="仿宋" w:eastAsia="仿宋"/>
                <w:color w:val="FF0000"/>
              </w:rPr>
            </w:pPr>
          </w:p>
        </w:tc>
      </w:tr>
      <w:tr w14:paraId="0F5379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96" w:type="dxa"/>
            <w:tcBorders>
              <w:right w:val="single" w:color="auto" w:sz="4" w:space="0"/>
            </w:tcBorders>
            <w:vAlign w:val="center"/>
          </w:tcPr>
          <w:p w14:paraId="3914133E">
            <w:pPr>
              <w:rPr>
                <w:rFonts w:hAnsi="Times New Roman" w:eastAsiaTheme="minorEastAsia"/>
                <w:color w:val="FF0000"/>
              </w:rPr>
            </w:pPr>
          </w:p>
        </w:tc>
        <w:tc>
          <w:tcPr>
            <w:tcW w:w="1226" w:type="dxa"/>
            <w:vAlign w:val="center"/>
          </w:tcPr>
          <w:p w14:paraId="5766002D">
            <w:pPr>
              <w:rPr>
                <w:rFonts w:hAnsi="Times New Roman" w:eastAsia="Times New Roman"/>
                <w:color w:val="FF0000"/>
              </w:rPr>
            </w:pPr>
          </w:p>
        </w:tc>
        <w:tc>
          <w:tcPr>
            <w:tcW w:w="1240" w:type="dxa"/>
            <w:tcBorders>
              <w:right w:val="single" w:color="auto" w:sz="4" w:space="0"/>
            </w:tcBorders>
            <w:vAlign w:val="center"/>
          </w:tcPr>
          <w:p w14:paraId="4D5B615A">
            <w:pPr>
              <w:rPr>
                <w:rFonts w:hAnsi="Times New Roman" w:eastAsia="Times New Roman"/>
                <w:color w:val="FF0000"/>
              </w:rPr>
            </w:pPr>
          </w:p>
        </w:tc>
        <w:tc>
          <w:tcPr>
            <w:tcW w:w="761" w:type="dxa"/>
            <w:tcBorders>
              <w:right w:val="single" w:color="auto" w:sz="4" w:space="0"/>
            </w:tcBorders>
          </w:tcPr>
          <w:p w14:paraId="190CC8B1">
            <w:pPr>
              <w:rPr>
                <w:rFonts w:hAnsi="宋体"/>
                <w:color w:val="FF0000"/>
              </w:rPr>
            </w:pPr>
          </w:p>
        </w:tc>
        <w:tc>
          <w:tcPr>
            <w:tcW w:w="846" w:type="dxa"/>
            <w:tcBorders>
              <w:left w:val="single" w:color="auto" w:sz="4" w:space="0"/>
            </w:tcBorders>
            <w:vAlign w:val="center"/>
          </w:tcPr>
          <w:p w14:paraId="493F1CB1">
            <w:pPr>
              <w:jc w:val="center"/>
              <w:rPr>
                <w:rFonts w:hAnsi="宋体"/>
                <w:color w:val="FF0000"/>
              </w:rPr>
            </w:pPr>
          </w:p>
        </w:tc>
        <w:tc>
          <w:tcPr>
            <w:tcW w:w="1933" w:type="dxa"/>
            <w:vAlign w:val="center"/>
          </w:tcPr>
          <w:p w14:paraId="09A0AE20">
            <w:pPr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3911" w:type="dxa"/>
            <w:vAlign w:val="center"/>
          </w:tcPr>
          <w:p w14:paraId="28A9B38B">
            <w:pPr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3040" w:type="dxa"/>
            <w:vAlign w:val="center"/>
          </w:tcPr>
          <w:p w14:paraId="5D3964BB">
            <w:pPr>
              <w:rPr>
                <w:rFonts w:ascii="仿宋" w:hAnsi="仿宋" w:eastAsia="仿宋"/>
                <w:color w:val="FF0000"/>
              </w:rPr>
            </w:pPr>
          </w:p>
        </w:tc>
      </w:tr>
    </w:tbl>
    <w:p w14:paraId="5099AC9B">
      <w:pPr>
        <w:tabs>
          <w:tab w:val="left" w:pos="5760"/>
        </w:tabs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备注：线</w:t>
      </w:r>
      <w:r>
        <w:rPr>
          <w:rFonts w:hint="eastAsia" w:ascii="宋体" w:hAnsi="宋体"/>
          <w:color w:val="000000"/>
        </w:rPr>
        <w:t>上学时占总学时的比例为20%-50%</w:t>
      </w:r>
      <w:r>
        <w:rPr>
          <w:rFonts w:ascii="宋体" w:hAnsi="宋体"/>
          <w:color w:val="000000"/>
        </w:rPr>
        <w:t>。</w:t>
      </w:r>
    </w:p>
    <w:p w14:paraId="5142B5CC">
      <w:pPr>
        <w:tabs>
          <w:tab w:val="left" w:pos="5760"/>
        </w:tabs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红色字体为举例说明</w:t>
      </w:r>
      <w:r>
        <w:rPr>
          <w:rFonts w:hint="eastAsia" w:ascii="宋体" w:hAnsi="宋体"/>
          <w:color w:val="000000"/>
        </w:rPr>
        <w:t>。</w:t>
      </w:r>
    </w:p>
    <w:sectPr>
      <w:pgSz w:w="16838" w:h="11906" w:orient="landscape"/>
      <w:pgMar w:top="1797" w:right="1440" w:bottom="1560" w:left="144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3CE"/>
    <w:rsid w:val="00004F33"/>
    <w:rsid w:val="00011F9B"/>
    <w:rsid w:val="000154EF"/>
    <w:rsid w:val="00021CD1"/>
    <w:rsid w:val="000304C2"/>
    <w:rsid w:val="00037B6D"/>
    <w:rsid w:val="000536CB"/>
    <w:rsid w:val="00062CD0"/>
    <w:rsid w:val="000702F0"/>
    <w:rsid w:val="00076DFF"/>
    <w:rsid w:val="000931BB"/>
    <w:rsid w:val="000A5872"/>
    <w:rsid w:val="000B087A"/>
    <w:rsid w:val="000B356C"/>
    <w:rsid w:val="000B7A2C"/>
    <w:rsid w:val="000C00C2"/>
    <w:rsid w:val="000C1AA2"/>
    <w:rsid w:val="000C5615"/>
    <w:rsid w:val="000C70FF"/>
    <w:rsid w:val="000F4126"/>
    <w:rsid w:val="00116FCF"/>
    <w:rsid w:val="00123588"/>
    <w:rsid w:val="00124A22"/>
    <w:rsid w:val="00126EB6"/>
    <w:rsid w:val="00153308"/>
    <w:rsid w:val="001734BA"/>
    <w:rsid w:val="00177C9F"/>
    <w:rsid w:val="00187464"/>
    <w:rsid w:val="001876BD"/>
    <w:rsid w:val="001964D0"/>
    <w:rsid w:val="001C29C0"/>
    <w:rsid w:val="00201771"/>
    <w:rsid w:val="00211F45"/>
    <w:rsid w:val="0022034A"/>
    <w:rsid w:val="00221F3B"/>
    <w:rsid w:val="00226FB9"/>
    <w:rsid w:val="00232F8C"/>
    <w:rsid w:val="00244945"/>
    <w:rsid w:val="00244DB4"/>
    <w:rsid w:val="00251959"/>
    <w:rsid w:val="00287F58"/>
    <w:rsid w:val="0029155F"/>
    <w:rsid w:val="0029444A"/>
    <w:rsid w:val="002B6344"/>
    <w:rsid w:val="002F1BC9"/>
    <w:rsid w:val="003001E6"/>
    <w:rsid w:val="00307971"/>
    <w:rsid w:val="00314306"/>
    <w:rsid w:val="00322A6D"/>
    <w:rsid w:val="003376F7"/>
    <w:rsid w:val="00392DEA"/>
    <w:rsid w:val="003964E1"/>
    <w:rsid w:val="003C0898"/>
    <w:rsid w:val="003F160C"/>
    <w:rsid w:val="003F168A"/>
    <w:rsid w:val="00406343"/>
    <w:rsid w:val="00417286"/>
    <w:rsid w:val="00430C76"/>
    <w:rsid w:val="004311C1"/>
    <w:rsid w:val="00436F9A"/>
    <w:rsid w:val="004422AA"/>
    <w:rsid w:val="00452CBD"/>
    <w:rsid w:val="0045602F"/>
    <w:rsid w:val="00471D70"/>
    <w:rsid w:val="00484BE2"/>
    <w:rsid w:val="004906B1"/>
    <w:rsid w:val="00492B7E"/>
    <w:rsid w:val="004A6CA1"/>
    <w:rsid w:val="004A7AB8"/>
    <w:rsid w:val="004C3356"/>
    <w:rsid w:val="004C3B59"/>
    <w:rsid w:val="004F1623"/>
    <w:rsid w:val="004F467A"/>
    <w:rsid w:val="0050609F"/>
    <w:rsid w:val="00511E5A"/>
    <w:rsid w:val="00513F67"/>
    <w:rsid w:val="0051449A"/>
    <w:rsid w:val="00516BAD"/>
    <w:rsid w:val="005240C3"/>
    <w:rsid w:val="005275ED"/>
    <w:rsid w:val="00537561"/>
    <w:rsid w:val="0055340D"/>
    <w:rsid w:val="005552C9"/>
    <w:rsid w:val="0056506C"/>
    <w:rsid w:val="005670EC"/>
    <w:rsid w:val="00567874"/>
    <w:rsid w:val="005761A4"/>
    <w:rsid w:val="00590E5C"/>
    <w:rsid w:val="005C7673"/>
    <w:rsid w:val="005E40A8"/>
    <w:rsid w:val="00602E75"/>
    <w:rsid w:val="00626BB4"/>
    <w:rsid w:val="006325C8"/>
    <w:rsid w:val="00642A87"/>
    <w:rsid w:val="006456BD"/>
    <w:rsid w:val="0066289E"/>
    <w:rsid w:val="006803CE"/>
    <w:rsid w:val="006805AD"/>
    <w:rsid w:val="006A01E8"/>
    <w:rsid w:val="006A0E04"/>
    <w:rsid w:val="006C2B2C"/>
    <w:rsid w:val="006F459E"/>
    <w:rsid w:val="0070564A"/>
    <w:rsid w:val="00716838"/>
    <w:rsid w:val="00724410"/>
    <w:rsid w:val="00750DD5"/>
    <w:rsid w:val="00775C77"/>
    <w:rsid w:val="00780008"/>
    <w:rsid w:val="0078125C"/>
    <w:rsid w:val="00794277"/>
    <w:rsid w:val="00794AA0"/>
    <w:rsid w:val="00797EFA"/>
    <w:rsid w:val="007C5298"/>
    <w:rsid w:val="007C693C"/>
    <w:rsid w:val="007D2F7E"/>
    <w:rsid w:val="007D40AA"/>
    <w:rsid w:val="007E068A"/>
    <w:rsid w:val="007E11A7"/>
    <w:rsid w:val="007F5BC8"/>
    <w:rsid w:val="00807D79"/>
    <w:rsid w:val="00815AFF"/>
    <w:rsid w:val="00820207"/>
    <w:rsid w:val="008328E0"/>
    <w:rsid w:val="00833DF7"/>
    <w:rsid w:val="00847E4B"/>
    <w:rsid w:val="008771E5"/>
    <w:rsid w:val="00886694"/>
    <w:rsid w:val="0088679A"/>
    <w:rsid w:val="008A2275"/>
    <w:rsid w:val="008A66D7"/>
    <w:rsid w:val="008B06E8"/>
    <w:rsid w:val="008B5877"/>
    <w:rsid w:val="008D63B3"/>
    <w:rsid w:val="008E407E"/>
    <w:rsid w:val="008E4760"/>
    <w:rsid w:val="008F34D5"/>
    <w:rsid w:val="00905564"/>
    <w:rsid w:val="0090746D"/>
    <w:rsid w:val="00923F27"/>
    <w:rsid w:val="00960069"/>
    <w:rsid w:val="00986EB2"/>
    <w:rsid w:val="009A3867"/>
    <w:rsid w:val="009B0F05"/>
    <w:rsid w:val="009E1101"/>
    <w:rsid w:val="00A07FC6"/>
    <w:rsid w:val="00A10FC7"/>
    <w:rsid w:val="00A26847"/>
    <w:rsid w:val="00A4257B"/>
    <w:rsid w:val="00A603E4"/>
    <w:rsid w:val="00A70CF7"/>
    <w:rsid w:val="00A81D0E"/>
    <w:rsid w:val="00A828D1"/>
    <w:rsid w:val="00AA38A5"/>
    <w:rsid w:val="00AD152C"/>
    <w:rsid w:val="00AE7C4C"/>
    <w:rsid w:val="00B06ECA"/>
    <w:rsid w:val="00B24D40"/>
    <w:rsid w:val="00B25368"/>
    <w:rsid w:val="00B27945"/>
    <w:rsid w:val="00B42CF1"/>
    <w:rsid w:val="00B47F43"/>
    <w:rsid w:val="00B669CD"/>
    <w:rsid w:val="00B6790A"/>
    <w:rsid w:val="00B84D4E"/>
    <w:rsid w:val="00B939D1"/>
    <w:rsid w:val="00BA197B"/>
    <w:rsid w:val="00BB2DB7"/>
    <w:rsid w:val="00BB3015"/>
    <w:rsid w:val="00BB504C"/>
    <w:rsid w:val="00BB59F8"/>
    <w:rsid w:val="00BC47F1"/>
    <w:rsid w:val="00BD3857"/>
    <w:rsid w:val="00BE112B"/>
    <w:rsid w:val="00BE222C"/>
    <w:rsid w:val="00BE5559"/>
    <w:rsid w:val="00BE7697"/>
    <w:rsid w:val="00BE7C0A"/>
    <w:rsid w:val="00BF3887"/>
    <w:rsid w:val="00C04550"/>
    <w:rsid w:val="00C1044F"/>
    <w:rsid w:val="00C23902"/>
    <w:rsid w:val="00C32B10"/>
    <w:rsid w:val="00C34D09"/>
    <w:rsid w:val="00C34EA1"/>
    <w:rsid w:val="00C437E1"/>
    <w:rsid w:val="00C62ECD"/>
    <w:rsid w:val="00C765A0"/>
    <w:rsid w:val="00C80C5D"/>
    <w:rsid w:val="00CA7475"/>
    <w:rsid w:val="00CB3377"/>
    <w:rsid w:val="00CC267F"/>
    <w:rsid w:val="00CD4965"/>
    <w:rsid w:val="00CD6DE2"/>
    <w:rsid w:val="00CE0359"/>
    <w:rsid w:val="00CE47FF"/>
    <w:rsid w:val="00CF3312"/>
    <w:rsid w:val="00D1154A"/>
    <w:rsid w:val="00D257BE"/>
    <w:rsid w:val="00D338CF"/>
    <w:rsid w:val="00D47004"/>
    <w:rsid w:val="00D50E9B"/>
    <w:rsid w:val="00D52774"/>
    <w:rsid w:val="00D532D2"/>
    <w:rsid w:val="00D60F36"/>
    <w:rsid w:val="00D93920"/>
    <w:rsid w:val="00DA27F1"/>
    <w:rsid w:val="00DA42E6"/>
    <w:rsid w:val="00DB3E62"/>
    <w:rsid w:val="00DD163A"/>
    <w:rsid w:val="00DD214C"/>
    <w:rsid w:val="00DF01C4"/>
    <w:rsid w:val="00E020CE"/>
    <w:rsid w:val="00E04B9C"/>
    <w:rsid w:val="00E069D4"/>
    <w:rsid w:val="00E1327C"/>
    <w:rsid w:val="00E33354"/>
    <w:rsid w:val="00E34E2D"/>
    <w:rsid w:val="00E64946"/>
    <w:rsid w:val="00E7021A"/>
    <w:rsid w:val="00E8101A"/>
    <w:rsid w:val="00E90495"/>
    <w:rsid w:val="00E9587E"/>
    <w:rsid w:val="00EA1F25"/>
    <w:rsid w:val="00EA7F1E"/>
    <w:rsid w:val="00EB62C8"/>
    <w:rsid w:val="00EF0520"/>
    <w:rsid w:val="00F03D30"/>
    <w:rsid w:val="00F22822"/>
    <w:rsid w:val="00F4070A"/>
    <w:rsid w:val="00F43B20"/>
    <w:rsid w:val="00F50CE4"/>
    <w:rsid w:val="00F73E46"/>
    <w:rsid w:val="00F87A60"/>
    <w:rsid w:val="00FA0944"/>
    <w:rsid w:val="00FB0451"/>
    <w:rsid w:val="00FB18E9"/>
    <w:rsid w:val="00FB4220"/>
    <w:rsid w:val="00FF7139"/>
    <w:rsid w:val="0165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5A1136-B128-46CF-8A41-9C5A24C49232}">
  <ds:schemaRefs/>
</ds:datastoreItem>
</file>